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54" w:rsidRPr="00E44983" w:rsidRDefault="00DC0F54" w:rsidP="00FF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роект</w:t>
      </w:r>
    </w:p>
    <w:p w:rsidR="00DC0F54" w:rsidRPr="00E44983" w:rsidRDefault="00DC0F54" w:rsidP="00FF59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FF59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C0F54" w:rsidRPr="003B2C67" w:rsidRDefault="00DC0F54" w:rsidP="00FF5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C67">
        <w:rPr>
          <w:rFonts w:ascii="Times New Roman" w:hAnsi="Times New Roman" w:cs="Times New Roman"/>
          <w:b/>
          <w:bCs/>
          <w:sz w:val="28"/>
          <w:szCs w:val="28"/>
        </w:rPr>
        <w:t>Примерные критерии</w:t>
      </w:r>
      <w:r>
        <w:rPr>
          <w:rFonts w:ascii="Times New Roman" w:hAnsi="Times New Roman" w:cs="Times New Roman"/>
          <w:b/>
          <w:bCs/>
          <w:sz w:val="28"/>
          <w:szCs w:val="28"/>
        </w:rPr>
        <w:t>, показатели</w:t>
      </w: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C67">
        <w:rPr>
          <w:rFonts w:ascii="Times New Roman" w:hAnsi="Times New Roman" w:cs="Times New Roman"/>
          <w:b/>
          <w:bCs/>
          <w:sz w:val="28"/>
          <w:szCs w:val="28"/>
        </w:rPr>
        <w:t xml:space="preserve">оценки эффективности деятельности руководителей образовательных учреждений </w:t>
      </w:r>
    </w:p>
    <w:p w:rsidR="00DC0F54" w:rsidRDefault="00DC0F54" w:rsidP="00B02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Вожегодского муниципального района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5"/>
        <w:gridCol w:w="3544"/>
        <w:gridCol w:w="7938"/>
        <w:gridCol w:w="1134"/>
      </w:tblGrid>
      <w:tr w:rsidR="00DC0F54" w:rsidRPr="001D59E0" w:rsidTr="00AD49FC">
        <w:tc>
          <w:tcPr>
            <w:tcW w:w="2415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Критерий оценки </w:t>
            </w:r>
          </w:p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эффективности</w:t>
            </w:r>
          </w:p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(шкала оценки по критерию)</w:t>
            </w:r>
          </w:p>
        </w:tc>
        <w:tc>
          <w:tcPr>
            <w:tcW w:w="354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эффективности</w:t>
            </w:r>
          </w:p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(диапазон  показателей в баллах)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Значение измерителей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баллов</w:t>
            </w:r>
          </w:p>
        </w:tc>
      </w:tr>
      <w:tr w:rsidR="00DC0F54" w:rsidRPr="001D59E0" w:rsidTr="00AD49FC">
        <w:tc>
          <w:tcPr>
            <w:tcW w:w="15031" w:type="dxa"/>
            <w:gridSpan w:val="4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ОУ</w:t>
            </w:r>
          </w:p>
        </w:tc>
      </w:tr>
      <w:tr w:rsidR="00DC0F54" w:rsidRPr="001D59E0" w:rsidTr="00AD49FC">
        <w:trPr>
          <w:trHeight w:val="445"/>
        </w:trPr>
        <w:tc>
          <w:tcPr>
            <w:tcW w:w="2415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1.Обеспечение доступности и качества образования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(0-17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баллов)</w:t>
            </w: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1.1.Сохранение контингента обучающихся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1.1.1. Сохранение контингента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1.1.2. Наличие обучающихся, не освоивших образовательные программы и  отчисленных из ОУ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1.1.3.Наличие отчисленных при положительной динамике показателя за 3 года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F3346A" w:rsidRDefault="00DC0F54" w:rsidP="00A64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46A">
              <w:rPr>
                <w:rFonts w:ascii="Times New Roman" w:hAnsi="Times New Roman" w:cs="Times New Roman"/>
                <w:sz w:val="28"/>
                <w:szCs w:val="28"/>
              </w:rPr>
              <w:t xml:space="preserve">1.2.Планирование контингента обучающихся в соответствии с планом (?) и лицензией ОУ </w:t>
            </w:r>
            <w:r w:rsidRPr="00F334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F3346A" w:rsidRDefault="00DC0F54" w:rsidP="00A64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46A">
              <w:rPr>
                <w:rFonts w:ascii="Times New Roman" w:hAnsi="Times New Roman" w:cs="Times New Roman"/>
                <w:sz w:val="28"/>
                <w:szCs w:val="28"/>
              </w:rPr>
              <w:t xml:space="preserve">1.2.1.Соответствие или отклонение в пределах 10 человек </w:t>
            </w:r>
          </w:p>
        </w:tc>
        <w:tc>
          <w:tcPr>
            <w:tcW w:w="1134" w:type="dxa"/>
          </w:tcPr>
          <w:p w:rsidR="00DC0F54" w:rsidRPr="00F3346A" w:rsidRDefault="00DC0F54" w:rsidP="00A64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4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46A">
              <w:rPr>
                <w:rFonts w:ascii="Times New Roman" w:hAnsi="Times New Roman" w:cs="Times New Roman"/>
                <w:sz w:val="28"/>
                <w:szCs w:val="28"/>
              </w:rPr>
              <w:t>1.2.2.Отклонение более 10 человек (за исключением корректировки по согласованию с учредителем)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4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1.3. Наличие выбора профиля обучения или индивидуального учебного плана для обучающихся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ступени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1.3.1.Возможность обучения по ИУП, наличие 2-х и более профилей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1.3.2. Отсутствие профильного обучения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1.4.Количество обучающихся на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ступени обучения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1.4.1. Контингент обучающихся 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ступени обучения: </w:t>
            </w:r>
            <w:r w:rsidRPr="00350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и более человек (для городских школ)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1.4.2. Контингент обучающихся 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ступени менее 150 человек  (для городских школ)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1.5. Наличие классов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вида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(0-3)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1.5.1.Классы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вида отсутствуют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1.5.2. 1-2 класса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вида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1.5.3. 3-6 классов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вида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1.5.4. Более 6 классов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вида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1.6. Средняя наполняемость классов по школе, включая  классы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вида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25 (12) человек и более / 14 (12) человек и более для городских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сельских школ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1.6.2. менее 25 (12) человек / менее 14 (12) человек для городских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школ, но за два последних года имеет место положительная динамика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1.6.3. менее 25 (12) человек / менее 14 (12) человек для городских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школ, положительная динамика отсутствует 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1.7. Обучение и адаптация детей с неродным русским языком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1.7.1. Обеспечение обучения и адаптации детей с неродным русским языком (переселенцев, прибывших из стран ближнего зарубежья и т.д.)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1.7.2. Обучения и адаптации детей с неродным русским языком не осуществляются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1.8. Инклюзивное обучение  детей с ограниченными возможностями здоровья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1.8.1. Обеспечение инклюзивного обучения  детей с ограниченными возможностями здоровья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1.8.2. Отсутствие инклюзивного обучения  детей с ограниченными возможностями здоровья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1.9. Наличие пришкольного интерната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1.9.1. Наличие пришкольного интерната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1.9.2. Отсутствие пришкольного интерната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1.10. Обеспечение подвоза школьников в ОУ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1.10.1. Обеспечение подвоза школьников в ОУ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1.10.2. Подвоз школьников в ОУ не обеспечивается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2. Эффективное использование современных образовательных технологий, в т.ч. ИКТ,  в образовательном процессе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(0- 6 баллов)</w:t>
            </w: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2.1 Развитие информационной образовательной среды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ОУ (0-2)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2.1.1.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Положительная (устойчивая) динамика количества учащихся на 1 компьютер в ОУ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2.1.2. Положительная (устойчивая) динамика количества компьютеризированных рабочих мест педагогов при их активном использовании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Участие в сетевом взаимодействии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(0-4)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2.2.1. Наличие статуса цифровой школы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2.2.2. Участие в сетевом взаимодействии на условиях паритетной кооперации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2.2.3.Организация дистанционного обучения для обучающихся в сетевом пространстве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3. Осуществление инновационной деятельности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(0-17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баллов)</w:t>
            </w: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3.1. Наличие у учреждения инновационного статуса: 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- региональная инновационная площадка;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- базовая организация АОУ ВО ДПО «ВИРО»;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- ресурсный центр (муниципального, регионального, федерального уровней)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(0-5)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3.1.1. Учреждение имеет инновационный статус регионального уровня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3.1.2. Учреждение имеет инновационный статус муниципального уровня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rPr>
          <w:trHeight w:val="1188"/>
        </w:trPr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3.1.3. Учреждение не имеет инновационного статуса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1187"/>
        </w:trPr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3.1.4.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Участие ОУ в региональных, федеральных пилотных проектах (АВЕРС, ФГОС и др.)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3.2. Включение инновационного опыта ОУ (коллективного), педагогов ОУ (индивидуального) в Единую базу данных об Инновационном опыте и его распространении в системе образования Вологодской области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(0-4)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3.2.1. Наличие в Единой БД коллективного опыта ОУ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3.2.2. Наличие в Единой БД  и создание условий для реализации в ОУ опыта 5 педагогов и более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rPr>
          <w:trHeight w:val="711"/>
        </w:trPr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3.2.3. Наличие в Единой БД  и создание условий для реализации в ОУ опыта 1-5 педагогов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rPr>
          <w:trHeight w:val="1374"/>
        </w:trPr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3.2.4. Отсутствие инновационного опыта ОУ в Единой базе данных об Инновационном опыте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85"/>
        </w:trPr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3.3. Диссеминация результатов инновационной образовательной деятельности (презентация инноваций и актуального педагогического опыта на конференциях, семинарах, совещаниях, педагогических чтениях и др. мероприятиях, направленных на трансляцию опыта, признанного актуальным 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(0-6)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3.3.1. Результативное представление опыта инновационной деятельности на федеральном уровне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Результативное представление опыта инновационной деятельности на региональном уровне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3.3.3. Результативное представление опыта инновационной дея-тельности на муниципальном уровне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3.3.4. Предъявление опыта инновационной деятельности  на региональном, федеральном уровне без признания его актуальности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условий для осуществления образовательного  процесса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(0- 18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баллов)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t xml:space="preserve"> </w:t>
            </w: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4.1. Обеспечение санитарно-гигиенических и комфортных санитарно-бытовых  условий процесса обучения (температурный, световой режим, режим подачи водопроводной воды, наличие оборудованных гардеробов, туалетов, мест личной гигиены и т.д.)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обоснованных замечаний со стороны  Роспотребнадзора 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*Обоснованные – зависящие от деятельности директора школы, не связанные с заявленным, но не выделенным финансированием.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4.1.2. Наличие обоснованных замечаний со стороны  Роспотребнадзора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 пожарной, электробезопасности, охраны труда, выполнение необходимых объемов текущего и капитального ремонта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(0-7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4.2.1 Необходимый минимум 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4.2.2.Наличие КТО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4.2.3. Наличие АПС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4.2.4. Наличие камеры видеонаблюдения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4.2.5. Наличие радиосвязи в школе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9D20A3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4.2.6. Проведение текущих и капитальных ремонтов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4.3. Передача несвойственных функций (аутсорсинг)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4.3.1. Наличие договора аутсорсинга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4.3.2. Отсутствие договора аутсорсинга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4.4. Состояние территории ОУ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4.4.1. Соответствует требованиям проверяющих организаций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4.4.2. Не соответствует требованиям проверяющих организаций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4.5. Развитие материальной базы ОУ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4.5.1. Положительная (устойчивая) динамика развития материально-технической базы для групповых, лабораторных работ, практических занятий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4.5.2.Отсутствие положительной динамики развития материально-технической базы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4.6. Организация деятельности групп продлённого дня (ГПД)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(0-2)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4.6.1. Наличие бюджетных (для 1 классов обязательно) и платных ГПД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4.6.2.Наличие бюджетных ГПД для 1 классов (обязательно), 2-4 классов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4.6.3. Отсутствие бюджетной ГПД для первых классов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4.7. Создание на базе образовательного учреждения пункта проведения экзаменов в новой форме (9 класс), пункта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и пункта проведения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этапа Всероссийской олимпиады школьников (ППО)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(0-2)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4.7.1. На базе школы работает ППЭ и ППО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4.7.2. На базе школы работает ППО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ППЭ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4.7.3. Отсутствие ППЭ или ППО на базе ОУ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966"/>
        </w:trPr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средств в ОУ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(0-3)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4.8.1. Привлечение средств от платных дополнительных услуг и аренды помещений </w:t>
            </w:r>
            <w:r w:rsidRPr="001D59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сопоставлении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1D59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объемом бюджетных ас-сигнований ОУ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4.8.2. Привлечение внебюджетных (спонсорских) средств в ОУ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4.8.3. Нет привлечения средств от платных дополнительных услуг, аренды помещений, спонсоров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 5.Кадровое обеспечение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(0- 10 баллов)</w:t>
            </w: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5.1. Выполнение федеральных нормативов по учителям и прочим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5.1.1.Количество учителей и прочих работников соответствует расчетной формуле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5.1.2. Количество учителей и прочих работников не соответствует расчетной формуле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5.2. Обеспечение укомплектованности ОУ педагогическими кадрами, их качественный состав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(0-3)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5.2.1. Отсутствие вакансий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5.2.2. Процентное соотношение учителей </w:t>
            </w:r>
            <w:r w:rsidRPr="001D5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и высшей квалификационной категории (более 70%)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5.2.3. Процентное соотношение учителей, имеющих высшее и среднее специальное образование (более 95%)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5.3. Развитие педагогического творчества (участие педагогов в научно-исследовательской, опытно-экспериментальной работе, конкурсах, конференциях)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(0-4)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5.3.1. Участие педагогов в конкурсах профессионального мастерства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5.3.2. Наличие у педагогов собственных методических и дидактических разработок, учебных пособий и т.д., применяемых в образовательном процессе учителями других школ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5.3.3. Руководство районными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методическими объединениями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творческими группами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5.3.4. Наличие ученических научных обществ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5.4. Стабильность педагогического коллектива, привлечение молодых специалистов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отсутствие текучести кадров в течение 3-х лет (за исключением отпуска по уходу за ребенком, выхода на пенсию)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приняты на работу молодые специалисты 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 Эффективность управленческой деятельности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(0- 22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баллов)</w:t>
            </w: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6.1. Исполнительская дисциплина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6.1.1.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 учредителя, (качественное ведение документации, своевременное предоставление материалов)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6.1.2. Наличие замечаний учредителя,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  <w:r w:rsidRPr="001D59E0">
              <w:t xml:space="preserve"> 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 и уровень решения конфликтных ситуаций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(0-6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6.2.1.Отсутствие любых обращений в течение полугодия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6.2.2. Отсутствие обоснованных обращений в течение полугодия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6.2.3. Наличие подтвержденных обращений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F352F4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6.2.4. Своевременное размещение и закрытие муниципальных контрактов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F352F4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6.2.5. Эффективная реализация муниципального задания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6.3.Своевременное и качественное предоставление информации по электронному мониторингу (РИСОВО, МИСО, КПМО и пр.)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(0-2)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6.3.1 Информация предоставляется качественно и в сроки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6.3.2. Иформация предоставляется в сроки, в течение года было 1 несоответствие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6.3.3. Наличие замечаний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6.4. Отсутствие замечаний со стороны контролирующих органов к ведению нормативно-правовой базы для функционирования и развития учреждения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6.4.1. Отсутствие замечаний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6.4.2. Наличие замечаний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6.5. Обеспечение государственно-общественного характера управления в учреждении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(0-3)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6.5.1. </w:t>
            </w:r>
            <w:r w:rsidRPr="001D5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Эффективность деятельности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управляющих и (или) попечительских советов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советов образовательного учреждения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6.5.2. </w:t>
            </w:r>
            <w:r w:rsidRPr="00967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Эффективность деятельности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органов ученического самоуправления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6.5.3. Наличие профсоюзной организации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6.6. Наличие доступа и открытой информации образовательного учреждения (сайт, школьная пресса и т.д.)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(0-3)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6.6.1. </w:t>
            </w:r>
            <w:r w:rsidRPr="006C51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информации </w:t>
            </w:r>
            <w:r w:rsidRPr="006C51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своевременное наполнение</w:t>
            </w: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 сайта в соответствии с Федеральным Законом №293-ФЗ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6.6.2. Наличие школьной прессы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6.6.3. Обеспечение работы СКФ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6.7.Отсутствие нарушений действующего законодательства, в т. ч. Трудового кодекса РФ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6.7.1. Отсутствие нарушений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6.7.2. Наличие нарушений 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6.8. Отсутствие замечаний по финансово-хозяйственной деятельности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6.8.1. Отсутствие замечаний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6.8.2. Наличие замечаний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6.9. Личное участие руководителя в семинарах, конференциях, форумах, педагогических чтениях (выступления, организация и т.д.)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6.9. 1. Участие в мероприятиях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6.9.2. Не принимал активного  участия</w:t>
            </w: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1318"/>
        </w:trPr>
        <w:tc>
          <w:tcPr>
            <w:tcW w:w="2415" w:type="dxa"/>
            <w:vMerge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 xml:space="preserve">6.10. Наличие программ развития учреждения </w:t>
            </w: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sz w:val="28"/>
                <w:szCs w:val="28"/>
              </w:rPr>
              <w:t>6.10.1.Наличие действующей  программы  (программ) развития</w:t>
            </w:r>
          </w:p>
          <w:p w:rsidR="00DC0F54" w:rsidRPr="001D59E0" w:rsidRDefault="00DC0F54" w:rsidP="001D5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F54" w:rsidRPr="001D59E0" w:rsidRDefault="00DC0F54" w:rsidP="001D5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 Сохранение здоровья обучающихся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(0-11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баллов)</w:t>
            </w: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.1. Доля детей, охваченных горячим питанием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.1.1. Выше 70%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.1.2. От 50% до 70%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.1.3. Менее 50%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782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.2. Наличие и реализация в учреждении Программы здоровья, в т.ч. системы профилактики заболеваний, негативных зависимостей и т.д.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.2.1. Наличие программы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.2.2. Отсутствие программы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599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.3. Соблюдение техники безопасности и охраны труда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C50412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7.3.1.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 и охраны труда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rPr>
          <w:trHeight w:val="598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8739A2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A2">
              <w:rPr>
                <w:rFonts w:ascii="Times New Roman" w:hAnsi="Times New Roman" w:cs="Times New Roman"/>
                <w:sz w:val="28"/>
                <w:szCs w:val="28"/>
              </w:rPr>
              <w:t>7.3.2.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Имеют место нарушения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техники безопасности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охраны труда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.4. Охват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щихся спортивно-массовой работой и ее результативность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.4.1. Участие ОУ во всех городских спортивно-массовых мероприятиях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.4.2. Участие ОУ в части мероприятий, но есть победы и призовые места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.4.3. ОУ участвует в менее 50% городских спортивно-массовых мероприятиях 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.5 Организация отдыха и оздоровления школьников в каникулярное время (лагеря с дневным пребыванием)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(0-3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.5.1. Наличие на базе школы лагеря с дневным пребыванием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7.5.2. </w:t>
            </w:r>
            <w:r w:rsidRPr="00D03D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Охват детей  различными формами отдыха и оздоровления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 менее 72% за год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7.5.3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 Отсутствие на базе школы лагеря с дневным пребыванием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402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Оптимальное использование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спортзалов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8739A2" w:rsidRDefault="00DC0F54" w:rsidP="009D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9A2">
              <w:rPr>
                <w:rFonts w:ascii="Times New Roman" w:hAnsi="Times New Roman" w:cs="Times New Roman"/>
                <w:sz w:val="28"/>
                <w:szCs w:val="28"/>
              </w:rPr>
              <w:t>7.6.1.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Оптимальная загруженность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спортзалов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 дополнительных спортивных занятий во внеурочное время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rPr>
          <w:trHeight w:val="402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8739A2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7.6.2</w:t>
            </w:r>
            <w:r w:rsidRPr="00873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Неполное  использование потенциала спортивных залов и оборудования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402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7.7.Обеспечение проведения занятий для детей с ограниченными возможностями здоровья с учётом групп здоровья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7.7.1. Обеспечение проведения занятий для детей с ограниченными возможностями здоровья с учётом групп здоровья</w:t>
            </w:r>
          </w:p>
        </w:tc>
        <w:tc>
          <w:tcPr>
            <w:tcW w:w="1134" w:type="dxa"/>
          </w:tcPr>
          <w:p w:rsidR="00DC0F54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rPr>
          <w:trHeight w:val="402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7.7.2. Отсутствие занятий для детей с ограниченными возможностями здоровья с учётом групп здоровья</w:t>
            </w:r>
          </w:p>
        </w:tc>
        <w:tc>
          <w:tcPr>
            <w:tcW w:w="1134" w:type="dxa"/>
          </w:tcPr>
          <w:p w:rsidR="00DC0F54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rPr>
          <w:trHeight w:val="402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7.8. Обеспечение участия обучающихся во Всероссийских спортивных мероприятиях соревнованиях школьников «Президентские состязания» и Всероссийских спортивных игр школьников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Default="00DC0F54" w:rsidP="009D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7.8.1. Участие обучающихся во Всероссийских спортивных соревнованиях школьников «Президентские состязания» </w:t>
            </w:r>
          </w:p>
        </w:tc>
        <w:tc>
          <w:tcPr>
            <w:tcW w:w="1134" w:type="dxa"/>
          </w:tcPr>
          <w:p w:rsidR="00DC0F54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rPr>
          <w:trHeight w:val="402"/>
        </w:trPr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Default="00DC0F54" w:rsidP="00873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5A6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7.8.2. Участие обучающихся во Всероссийских спортивных играх школьников «Президентские спортивные игры» </w:t>
            </w:r>
          </w:p>
        </w:tc>
        <w:tc>
          <w:tcPr>
            <w:tcW w:w="1134" w:type="dxa"/>
          </w:tcPr>
          <w:p w:rsidR="00DC0F54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 Результативность обучения и воспитания в учреждении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(0-26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баллов)</w:t>
            </w: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.1. Наличие достижений в конкурсных отборах в рамках ПНП «Образование». Привлечение дополнительных средств через участие в региональных и федеральных конкурсах, грантах и др. за два года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(0-3)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.1.1. Учреждение участвовало и победило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конкурсах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ПНПО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.1.2. Учреждение участвовало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конкурсах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ПНПО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.1.3. Участие педагогов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конкурсах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ПНПО </w:t>
            </w:r>
            <w:r w:rsidRPr="00233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других конкурсах профессионального мастерства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.2. Динамика правонарушений, в т.ч. снижение кол-ва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щихся, состоящих на учете в комиссии по ДН, отсутствие преступлений и правонарушений, совершенных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щимися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(0-3)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.2.1. Отсутствие обучающихся, состоящих на учете в комиссии по делам несовершеннолетних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.2.2. От 1 до 7 учащихся*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.2.3. От 7 и более учащихся*</w:t>
            </w:r>
          </w:p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*При условии положительной динамики от 1 до 7 учащихся – 1 балл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.3 Доля обучающихся, освоивших образовательные программы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C50412" w:rsidRDefault="00DC0F54" w:rsidP="00C0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.3.1. Выше 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районного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.3.2. Ниже 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 уровня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8.3.3.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При положительной динамике в течение 3-х лет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.4. Доля обучающихся, закончивших учебный год на «4» и «5»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C50412" w:rsidRDefault="00DC0F54" w:rsidP="00C0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.4.1. Выше 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8.4.2. Ниже среднего городского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8.4.3.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При положительной динамике в течение 3-х лет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0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.5. Участие ОУ в олимпиадах (муниципальный этап Всероссийской олимпиады школьников) 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.5.1. Участие во всех олимпиадах и наличие призеров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.5.2. Участие во всех олимпиадах или наличие призеров и победителей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.5.3. Участие в 8 олимпиадах и менее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 Доля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охва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ченных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школьными олимпиадами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.6.1. Более 80%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.6.2. От 50%  до 80%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.6.3. Менее 50%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.7. Наличие медалистов, 100-бал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, победителей международных конкурсов и др.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(0-2)</w:t>
            </w:r>
          </w:p>
        </w:tc>
        <w:tc>
          <w:tcPr>
            <w:tcW w:w="7938" w:type="dxa"/>
          </w:tcPr>
          <w:p w:rsidR="00DC0F54" w:rsidRPr="00D03D51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3D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8.7.1. Наличие медалистов и 90 - 100-балльников ЕГЭ в учреждении 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D03D51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3D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8.7.2. Наличие медалистов или 90 - 100-балльников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.7.3. 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данных результатов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8.7.4. </w:t>
            </w:r>
            <w:r w:rsidRPr="009D2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Превышение среднеобластного балла ЕГЭ и ГИА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8.7.5. </w:t>
            </w:r>
            <w:r w:rsidRPr="009D2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Наличие обучающихся, закончивших школу с аттестатом с отличием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Количество призеров муниципальных,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региональных, федеральных олимпиад, творческих и спортивных конкурсов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(0-3)</w:t>
            </w:r>
          </w:p>
        </w:tc>
        <w:tc>
          <w:tcPr>
            <w:tcW w:w="7938" w:type="dxa"/>
          </w:tcPr>
          <w:p w:rsidR="00DC0F54" w:rsidRPr="00D81E87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1E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8.8.1. Более 10 человек 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D81E87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1E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8.8.2. От 5 до 10 человек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D81E87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1E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8.8.3. До 5 человек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D81E87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1E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8.8.4. Отсутствие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9. Эффективное сотрудничество с учреждениями дополнительного образования и развитие воспитательной системы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(0-6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баллов)</w:t>
            </w: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9.1. Размещение структурного подразделения учреждения дополнительного образования на базе ОУ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C50412" w:rsidRDefault="00DC0F54" w:rsidP="0070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9.1.1.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Размещение структурного подразделения учреждения дополнительного образования на базе ОУ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9.1.2. отсутствие структурного подразделения</w:t>
            </w:r>
          </w:p>
        </w:tc>
        <w:tc>
          <w:tcPr>
            <w:tcW w:w="1134" w:type="dxa"/>
          </w:tcPr>
          <w:p w:rsidR="00DC0F54" w:rsidRPr="00C50412" w:rsidRDefault="00DC0F54" w:rsidP="0037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 w:rsidTr="00AD49FC">
        <w:tc>
          <w:tcPr>
            <w:tcW w:w="2415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9.2. Доля обучающихся ОУ, занимающихся в учреждениях дополнитель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DC0F54" w:rsidRPr="00C50412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9.2.1. От 50% до 70% в учреждениях доп.образования сферы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в других сферах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F54" w:rsidRPr="001D59E0">
        <w:tc>
          <w:tcPr>
            <w:tcW w:w="2410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9.2.2. От 50% до 70% в учреждениях доп.образования всех сфер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>
        <w:tc>
          <w:tcPr>
            <w:tcW w:w="2410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9.2.3. М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енее 50%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>
        <w:tc>
          <w:tcPr>
            <w:tcW w:w="2410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9.3. Создание условий для совместной деятельности школы и учреждения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9.3.1. П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ривлечение педагогов дополнительного образования, педаго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 -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организаторов учреждений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специалистов учреждений культуры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>
        <w:tc>
          <w:tcPr>
            <w:tcW w:w="2410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9.3.2. Отсутствие 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совместной деятельности школы и учреждения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учреждений культуры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>
        <w:tc>
          <w:tcPr>
            <w:tcW w:w="2410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DC0F54" w:rsidRPr="00C50412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9.4. Создание условий для организации дополнительного образования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(0-1)</w:t>
            </w: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9.4.1. Организация кружков, секций, проводимых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силами педагогов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Другое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C0F54" w:rsidRPr="001D59E0">
        <w:tc>
          <w:tcPr>
            <w:tcW w:w="2410" w:type="dxa"/>
            <w:vMerge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C0F54" w:rsidRPr="00C50412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9.4.2.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созданы</w:t>
            </w: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C0F54" w:rsidRPr="001D59E0">
        <w:tc>
          <w:tcPr>
            <w:tcW w:w="2410" w:type="dxa"/>
          </w:tcPr>
          <w:p w:rsidR="00DC0F54" w:rsidRPr="00C50412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>10. Выполнение особо важных поручений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временных и  на постоянной основе</w:t>
            </w:r>
            <w:r w:rsidRPr="00C5041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(0-2 балла)</w:t>
            </w:r>
          </w:p>
        </w:tc>
        <w:tc>
          <w:tcPr>
            <w:tcW w:w="3544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0-2</w:t>
            </w:r>
          </w:p>
        </w:tc>
      </w:tr>
      <w:tr w:rsidR="00DC0F54" w:rsidRPr="001D59E0">
        <w:tc>
          <w:tcPr>
            <w:tcW w:w="2410" w:type="dxa"/>
          </w:tcPr>
          <w:p w:rsidR="00DC0F54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 </w:t>
            </w:r>
          </w:p>
          <w:p w:rsidR="00DC0F54" w:rsidRPr="0033608F" w:rsidRDefault="00DC0F54" w:rsidP="00373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 баллов</w:t>
            </w:r>
          </w:p>
        </w:tc>
        <w:tc>
          <w:tcPr>
            <w:tcW w:w="3544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0F54" w:rsidRPr="00C50412" w:rsidRDefault="00DC0F54" w:rsidP="00C5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F54" w:rsidRPr="00C50412" w:rsidRDefault="00DC0F54" w:rsidP="00C50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C0F54" w:rsidRPr="00C50412" w:rsidRDefault="00DC0F54" w:rsidP="00C50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Pr="003B2C67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F54" w:rsidRPr="003B2C67" w:rsidRDefault="00DC0F54" w:rsidP="0016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C0F54" w:rsidRPr="003B2C67" w:rsidSect="00A65AC8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F54" w:rsidRDefault="00DC0F54" w:rsidP="00543945">
      <w:pPr>
        <w:spacing w:after="0" w:line="240" w:lineRule="auto"/>
      </w:pPr>
      <w:r>
        <w:separator/>
      </w:r>
    </w:p>
  </w:endnote>
  <w:endnote w:type="continuationSeparator" w:id="0">
    <w:p w:rsidR="00DC0F54" w:rsidRDefault="00DC0F54" w:rsidP="0054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54" w:rsidRDefault="00DC0F54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DC0F54" w:rsidRDefault="00DC0F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F54" w:rsidRDefault="00DC0F54" w:rsidP="00543945">
      <w:pPr>
        <w:spacing w:after="0" w:line="240" w:lineRule="auto"/>
      </w:pPr>
      <w:r>
        <w:separator/>
      </w:r>
    </w:p>
  </w:footnote>
  <w:footnote w:type="continuationSeparator" w:id="0">
    <w:p w:rsidR="00DC0F54" w:rsidRDefault="00DC0F54" w:rsidP="0054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9ED"/>
    <w:multiLevelType w:val="hybridMultilevel"/>
    <w:tmpl w:val="9D58B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915FF"/>
    <w:multiLevelType w:val="hybridMultilevel"/>
    <w:tmpl w:val="4E36F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0B6DBA"/>
    <w:multiLevelType w:val="hybridMultilevel"/>
    <w:tmpl w:val="14208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579AE"/>
    <w:multiLevelType w:val="hybridMultilevel"/>
    <w:tmpl w:val="4F8AB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14AFC"/>
    <w:multiLevelType w:val="hybridMultilevel"/>
    <w:tmpl w:val="D19CD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86ACA"/>
    <w:multiLevelType w:val="hybridMultilevel"/>
    <w:tmpl w:val="F08CE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971FB"/>
    <w:multiLevelType w:val="hybridMultilevel"/>
    <w:tmpl w:val="0950A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25BC2"/>
    <w:multiLevelType w:val="multilevel"/>
    <w:tmpl w:val="9D58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C0914"/>
    <w:multiLevelType w:val="multilevel"/>
    <w:tmpl w:val="D23A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5F2F00"/>
    <w:multiLevelType w:val="hybridMultilevel"/>
    <w:tmpl w:val="1E7A8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323D8"/>
    <w:multiLevelType w:val="hybridMultilevel"/>
    <w:tmpl w:val="229C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EA17B2"/>
    <w:multiLevelType w:val="hybridMultilevel"/>
    <w:tmpl w:val="89121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46053"/>
    <w:multiLevelType w:val="multilevel"/>
    <w:tmpl w:val="90C4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0E736C"/>
    <w:multiLevelType w:val="hybridMultilevel"/>
    <w:tmpl w:val="85688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820ED0"/>
    <w:multiLevelType w:val="hybridMultilevel"/>
    <w:tmpl w:val="F17EE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1153A"/>
    <w:multiLevelType w:val="multilevel"/>
    <w:tmpl w:val="1E7A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132FC6"/>
    <w:multiLevelType w:val="hybridMultilevel"/>
    <w:tmpl w:val="B328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1D5F7E"/>
    <w:multiLevelType w:val="hybridMultilevel"/>
    <w:tmpl w:val="7584A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13"/>
  </w:num>
  <w:num w:numId="9">
    <w:abstractNumId w:val="1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8"/>
  </w:num>
  <w:num w:numId="15">
    <w:abstractNumId w:val="0"/>
  </w:num>
  <w:num w:numId="16">
    <w:abstractNumId w:val="7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AC8"/>
    <w:rsid w:val="00001AE8"/>
    <w:rsid w:val="0000480D"/>
    <w:rsid w:val="00010E02"/>
    <w:rsid w:val="00024B0C"/>
    <w:rsid w:val="00085035"/>
    <w:rsid w:val="00086B2B"/>
    <w:rsid w:val="000A279C"/>
    <w:rsid w:val="000B5F97"/>
    <w:rsid w:val="000E5033"/>
    <w:rsid w:val="000F38D7"/>
    <w:rsid w:val="001017B1"/>
    <w:rsid w:val="00113CA8"/>
    <w:rsid w:val="00121CD2"/>
    <w:rsid w:val="00133411"/>
    <w:rsid w:val="00161F35"/>
    <w:rsid w:val="00166F69"/>
    <w:rsid w:val="00175899"/>
    <w:rsid w:val="00184299"/>
    <w:rsid w:val="001A0CFE"/>
    <w:rsid w:val="001A48AB"/>
    <w:rsid w:val="001B404A"/>
    <w:rsid w:val="001D23CD"/>
    <w:rsid w:val="001D2508"/>
    <w:rsid w:val="001D59E0"/>
    <w:rsid w:val="001D5A93"/>
    <w:rsid w:val="001E20D3"/>
    <w:rsid w:val="002019B9"/>
    <w:rsid w:val="002212ED"/>
    <w:rsid w:val="0023361A"/>
    <w:rsid w:val="00233D90"/>
    <w:rsid w:val="00257896"/>
    <w:rsid w:val="00272A36"/>
    <w:rsid w:val="00276704"/>
    <w:rsid w:val="002B58DD"/>
    <w:rsid w:val="002B6500"/>
    <w:rsid w:val="002C0DA0"/>
    <w:rsid w:val="00312C24"/>
    <w:rsid w:val="003136AD"/>
    <w:rsid w:val="0032404D"/>
    <w:rsid w:val="0033608F"/>
    <w:rsid w:val="00343F45"/>
    <w:rsid w:val="0035083E"/>
    <w:rsid w:val="003645A5"/>
    <w:rsid w:val="00371691"/>
    <w:rsid w:val="00372968"/>
    <w:rsid w:val="00373CE4"/>
    <w:rsid w:val="003A3953"/>
    <w:rsid w:val="003B2C67"/>
    <w:rsid w:val="003C2336"/>
    <w:rsid w:val="003C55F9"/>
    <w:rsid w:val="003D28BD"/>
    <w:rsid w:val="003F1DBE"/>
    <w:rsid w:val="00402C14"/>
    <w:rsid w:val="00416A1D"/>
    <w:rsid w:val="004206E4"/>
    <w:rsid w:val="00486F41"/>
    <w:rsid w:val="004A2AE0"/>
    <w:rsid w:val="004A7C19"/>
    <w:rsid w:val="004B0378"/>
    <w:rsid w:val="004B4B1C"/>
    <w:rsid w:val="004C3701"/>
    <w:rsid w:val="004C7BA1"/>
    <w:rsid w:val="0050293E"/>
    <w:rsid w:val="00512DB4"/>
    <w:rsid w:val="00512FEF"/>
    <w:rsid w:val="00543945"/>
    <w:rsid w:val="00546E9A"/>
    <w:rsid w:val="00560276"/>
    <w:rsid w:val="00564BB3"/>
    <w:rsid w:val="00573994"/>
    <w:rsid w:val="00587515"/>
    <w:rsid w:val="005A6EB3"/>
    <w:rsid w:val="005B1607"/>
    <w:rsid w:val="005C77AA"/>
    <w:rsid w:val="005F25EF"/>
    <w:rsid w:val="0061189B"/>
    <w:rsid w:val="006358C7"/>
    <w:rsid w:val="00660938"/>
    <w:rsid w:val="00662D69"/>
    <w:rsid w:val="00677841"/>
    <w:rsid w:val="006847A0"/>
    <w:rsid w:val="006A4FC4"/>
    <w:rsid w:val="006B53E5"/>
    <w:rsid w:val="006C0CBB"/>
    <w:rsid w:val="006C51B2"/>
    <w:rsid w:val="006D5BFC"/>
    <w:rsid w:val="006E6F39"/>
    <w:rsid w:val="00705B83"/>
    <w:rsid w:val="00705FE0"/>
    <w:rsid w:val="00717BB7"/>
    <w:rsid w:val="00723FD4"/>
    <w:rsid w:val="0076007F"/>
    <w:rsid w:val="00766FF0"/>
    <w:rsid w:val="00773F6E"/>
    <w:rsid w:val="007A24ED"/>
    <w:rsid w:val="007B198C"/>
    <w:rsid w:val="007F1BAF"/>
    <w:rsid w:val="0080510A"/>
    <w:rsid w:val="00810356"/>
    <w:rsid w:val="00812874"/>
    <w:rsid w:val="00817585"/>
    <w:rsid w:val="00840C86"/>
    <w:rsid w:val="00851034"/>
    <w:rsid w:val="008739A2"/>
    <w:rsid w:val="0088212D"/>
    <w:rsid w:val="008A4720"/>
    <w:rsid w:val="008B7A72"/>
    <w:rsid w:val="008C2B3F"/>
    <w:rsid w:val="008C5AB2"/>
    <w:rsid w:val="008E1ED4"/>
    <w:rsid w:val="008E430D"/>
    <w:rsid w:val="008F4500"/>
    <w:rsid w:val="009032C0"/>
    <w:rsid w:val="00904342"/>
    <w:rsid w:val="009153E1"/>
    <w:rsid w:val="00952BD5"/>
    <w:rsid w:val="009671B0"/>
    <w:rsid w:val="00967BAB"/>
    <w:rsid w:val="00973D63"/>
    <w:rsid w:val="009853A3"/>
    <w:rsid w:val="009A0FBF"/>
    <w:rsid w:val="009A26AF"/>
    <w:rsid w:val="009D11EA"/>
    <w:rsid w:val="009D20A3"/>
    <w:rsid w:val="009E33CB"/>
    <w:rsid w:val="00A07244"/>
    <w:rsid w:val="00A1782B"/>
    <w:rsid w:val="00A205D0"/>
    <w:rsid w:val="00A37856"/>
    <w:rsid w:val="00A645E0"/>
    <w:rsid w:val="00A65AC8"/>
    <w:rsid w:val="00AC4C7C"/>
    <w:rsid w:val="00AD094D"/>
    <w:rsid w:val="00AD49FC"/>
    <w:rsid w:val="00AD7FF6"/>
    <w:rsid w:val="00B027AF"/>
    <w:rsid w:val="00B0461F"/>
    <w:rsid w:val="00B35EA5"/>
    <w:rsid w:val="00B41E62"/>
    <w:rsid w:val="00B4435E"/>
    <w:rsid w:val="00B46484"/>
    <w:rsid w:val="00B5256A"/>
    <w:rsid w:val="00B5455E"/>
    <w:rsid w:val="00B76D45"/>
    <w:rsid w:val="00B96165"/>
    <w:rsid w:val="00BC6AA6"/>
    <w:rsid w:val="00C050DC"/>
    <w:rsid w:val="00C17C0F"/>
    <w:rsid w:val="00C25E9A"/>
    <w:rsid w:val="00C50412"/>
    <w:rsid w:val="00C6350D"/>
    <w:rsid w:val="00C74A98"/>
    <w:rsid w:val="00C913E7"/>
    <w:rsid w:val="00C9372C"/>
    <w:rsid w:val="00CB6C28"/>
    <w:rsid w:val="00CD3AAA"/>
    <w:rsid w:val="00CE1D04"/>
    <w:rsid w:val="00CF1BCF"/>
    <w:rsid w:val="00D03D51"/>
    <w:rsid w:val="00D059C8"/>
    <w:rsid w:val="00D34AB9"/>
    <w:rsid w:val="00D572D8"/>
    <w:rsid w:val="00D6206A"/>
    <w:rsid w:val="00D81E87"/>
    <w:rsid w:val="00D92177"/>
    <w:rsid w:val="00D93982"/>
    <w:rsid w:val="00D94C7B"/>
    <w:rsid w:val="00D96AEE"/>
    <w:rsid w:val="00DA490C"/>
    <w:rsid w:val="00DB2DD9"/>
    <w:rsid w:val="00DC0F54"/>
    <w:rsid w:val="00DD10A9"/>
    <w:rsid w:val="00DE7002"/>
    <w:rsid w:val="00DF7118"/>
    <w:rsid w:val="00E41721"/>
    <w:rsid w:val="00E44983"/>
    <w:rsid w:val="00E6683F"/>
    <w:rsid w:val="00E85658"/>
    <w:rsid w:val="00EA2F00"/>
    <w:rsid w:val="00EB68B7"/>
    <w:rsid w:val="00ED681E"/>
    <w:rsid w:val="00ED7BCA"/>
    <w:rsid w:val="00EF3606"/>
    <w:rsid w:val="00F26711"/>
    <w:rsid w:val="00F3346A"/>
    <w:rsid w:val="00F352F4"/>
    <w:rsid w:val="00FA206F"/>
    <w:rsid w:val="00FC392C"/>
    <w:rsid w:val="00FC392E"/>
    <w:rsid w:val="00FD7DB2"/>
    <w:rsid w:val="00FE181A"/>
    <w:rsid w:val="00FF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F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705FE0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705FE0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0510A"/>
    <w:rPr>
      <w:rFonts w:ascii="Times New Roman" w:hAnsi="Times New Roman" w:cs="Times New Roman"/>
      <w:sz w:val="2"/>
      <w:szCs w:val="2"/>
    </w:rPr>
  </w:style>
  <w:style w:type="paragraph" w:customStyle="1" w:styleId="a">
    <w:name w:val="Знак Знак Знак"/>
    <w:basedOn w:val="Normal"/>
    <w:uiPriority w:val="99"/>
    <w:rsid w:val="00705FE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0">
    <w:name w:val="Таблицы (моноширинный)"/>
    <w:basedOn w:val="Normal"/>
    <w:next w:val="Normal"/>
    <w:uiPriority w:val="99"/>
    <w:rsid w:val="00705FE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2">
    <w:name w:val="Знак Знак Знак2"/>
    <w:basedOn w:val="Normal"/>
    <w:uiPriority w:val="99"/>
    <w:rsid w:val="00705FE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05FE0"/>
    <w:pPr>
      <w:spacing w:after="0" w:line="24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FE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5FE0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FE0"/>
    <w:rPr>
      <w:rFonts w:ascii="Calibri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rsid w:val="00705FE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FE0"/>
    <w:rPr>
      <w:rFonts w:ascii="Calibri" w:hAnsi="Calibri" w:cs="Calibri"/>
      <w:lang w:eastAsia="en-US"/>
    </w:rPr>
  </w:style>
  <w:style w:type="paragraph" w:customStyle="1" w:styleId="1">
    <w:name w:val="Знак Знак Знак1"/>
    <w:basedOn w:val="Normal"/>
    <w:uiPriority w:val="99"/>
    <w:rsid w:val="00564B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4206E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13</Pages>
  <Words>2599</Words>
  <Characters>14819</Characters>
  <Application>Microsoft Office Outlook</Application>
  <DocSecurity>0</DocSecurity>
  <Lines>0</Lines>
  <Paragraphs>0</Paragraphs>
  <ScaleCrop>false</ScaleCrop>
  <Company>МО и Н 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 new</dc:creator>
  <cp:keywords/>
  <dc:description/>
  <cp:lastModifiedBy>1</cp:lastModifiedBy>
  <cp:revision>37</cp:revision>
  <cp:lastPrinted>2013-07-05T06:39:00Z</cp:lastPrinted>
  <dcterms:created xsi:type="dcterms:W3CDTF">2013-04-18T13:01:00Z</dcterms:created>
  <dcterms:modified xsi:type="dcterms:W3CDTF">2013-07-05T10:29:00Z</dcterms:modified>
</cp:coreProperties>
</file>